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DE22" w14:textId="126970DB" w:rsidR="001A4D52" w:rsidRDefault="00B87237" w:rsidP="00797D32">
      <w:r>
        <w:rPr>
          <w:rFonts w:ascii="Yu Gothic UI" w:eastAsia="Yu Gothic UI" w:hAnsi="Yu Gothic UI" w:cs="Yu Gothic UI"/>
          <w:b/>
          <w:sz w:val="28"/>
        </w:rPr>
        <w:t>【</w:t>
      </w:r>
      <w:r w:rsidR="00EE3501">
        <w:rPr>
          <w:rFonts w:ascii="Times New Roman" w:eastAsia="Times New Roman" w:hAnsi="Times New Roman" w:cs="Times New Roman"/>
          <w:b/>
          <w:sz w:val="28"/>
        </w:rPr>
        <w:t>Sample</w:t>
      </w:r>
      <w:r>
        <w:rPr>
          <w:rFonts w:ascii="Yu Gothic UI" w:eastAsia="Yu Gothic UI" w:hAnsi="Yu Gothic UI" w:cs="Yu Gothic UI"/>
          <w:b/>
          <w:sz w:val="28"/>
        </w:rPr>
        <w:t>】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6C78A68" w14:textId="795C51FF" w:rsidR="001A4D52" w:rsidRDefault="00000000">
      <w:pPr>
        <w:spacing w:after="3" w:line="264" w:lineRule="auto"/>
        <w:ind w:left="-5" w:right="13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1C24BF1" wp14:editId="362A0921">
            <wp:simplePos x="0" y="0"/>
            <wp:positionH relativeFrom="column">
              <wp:posOffset>4368800</wp:posOffset>
            </wp:positionH>
            <wp:positionV relativeFrom="paragraph">
              <wp:posOffset>103505</wp:posOffset>
            </wp:positionV>
            <wp:extent cx="942340" cy="1056005"/>
            <wp:effectExtent l="0" t="0" r="0" b="0"/>
            <wp:wrapSquare wrapText="bothSides"/>
            <wp:docPr id="357" name="Picture 357" descr="片目が赤いフクロウ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Picture 357" descr="片目が赤いフクロウ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55" r="20255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105600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84A50" w:rsidRPr="00D84A50">
        <w:t xml:space="preserve"> </w:t>
      </w:r>
      <w:r w:rsidR="00D84A50" w:rsidRPr="00D84A50">
        <w:rPr>
          <w:rFonts w:ascii="Times New Roman" w:eastAsia="Times New Roman" w:hAnsi="Times New Roman" w:cs="Times New Roman"/>
          <w:b/>
          <w:sz w:val="28"/>
        </w:rPr>
        <w:t xml:space="preserve">Peroxiredoxin acts protectively on </w:t>
      </w:r>
      <w:r w:rsidR="00D00ACA">
        <w:rPr>
          <w:rFonts w:ascii="Times New Roman" w:eastAsia="Times New Roman" w:hAnsi="Times New Roman" w:cs="Times New Roman"/>
          <w:b/>
          <w:sz w:val="28"/>
        </w:rPr>
        <w:t>osteoclasts</w:t>
      </w:r>
      <w:r w:rsidR="00D84A50" w:rsidRPr="00D84A50">
        <w:rPr>
          <w:rFonts w:ascii="Times New Roman" w:eastAsia="Times New Roman" w:hAnsi="Times New Roman" w:cs="Times New Roman"/>
          <w:b/>
          <w:sz w:val="28"/>
        </w:rPr>
        <w:t xml:space="preserve"> against oxidative stress when teeth are injured</w:t>
      </w:r>
      <w:r>
        <w:rPr>
          <w:rFonts w:ascii="Times New Roman" w:eastAsia="Times New Roman" w:hAnsi="Times New Roman" w:cs="Times New Roman"/>
          <w:b/>
          <w:sz w:val="28"/>
        </w:rPr>
        <w:t xml:space="preserve">.  </w:t>
      </w:r>
    </w:p>
    <w:p w14:paraId="00157946" w14:textId="77777777" w:rsidR="001A4D52" w:rsidRDefault="00000000">
      <w:pPr>
        <w:spacing w:after="0"/>
        <w:ind w:right="139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2DA1C77" w14:textId="3EAB802E" w:rsidR="001A4D52" w:rsidRDefault="00CD55D4">
      <w:pPr>
        <w:spacing w:after="3" w:line="264" w:lineRule="auto"/>
        <w:ind w:left="-5" w:right="139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Prof. Toru Yanagawa </w:t>
      </w:r>
    </w:p>
    <w:p w14:paraId="7A888771" w14:textId="14BF9AC9" w:rsidR="001A4D52" w:rsidRPr="006A1141" w:rsidRDefault="00000000" w:rsidP="006A1141">
      <w:pPr>
        <w:spacing w:after="5" w:line="250" w:lineRule="auto"/>
        <w:ind w:left="-5" w:right="139" w:hanging="10"/>
        <w:jc w:val="both"/>
        <w:rPr>
          <w:rFonts w:ascii="Times New Roman" w:hAnsi="Times New Roman" w:cs="Times New Roman"/>
        </w:rPr>
      </w:pPr>
      <w:r w:rsidRPr="00595BB7">
        <w:rPr>
          <w:rFonts w:ascii="Times New Roman" w:eastAsia="Times New Roman" w:hAnsi="Times New Roman" w:cs="Times New Roman"/>
          <w:sz w:val="24"/>
        </w:rPr>
        <w:t xml:space="preserve">Professor, Department of </w:t>
      </w:r>
      <w:r w:rsidR="00595BB7" w:rsidRPr="00595BB7">
        <w:rPr>
          <w:rFonts w:ascii="Times New Roman" w:eastAsiaTheme="minorEastAsia" w:hAnsi="Times New Roman" w:cs="Times New Roman"/>
          <w:sz w:val="24"/>
        </w:rPr>
        <w:t>Oral and Maxillofacial Surgery</w:t>
      </w:r>
      <w:r w:rsidRPr="00595BB7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595BB7" w:rsidRPr="00595BB7">
        <w:rPr>
          <w:rFonts w:ascii="Times New Roman" w:eastAsiaTheme="minorEastAsia" w:hAnsi="Times New Roman" w:cs="Times New Roman"/>
          <w:sz w:val="24"/>
        </w:rPr>
        <w:t>Insutitute</w:t>
      </w:r>
      <w:proofErr w:type="spellEnd"/>
      <w:r w:rsidR="00595BB7" w:rsidRPr="00595BB7">
        <w:rPr>
          <w:rFonts w:ascii="Times New Roman" w:eastAsiaTheme="minorEastAsia" w:hAnsi="Times New Roman" w:cs="Times New Roman"/>
          <w:sz w:val="24"/>
        </w:rPr>
        <w:t xml:space="preserve"> of </w:t>
      </w:r>
      <w:r w:rsidR="00595BB7" w:rsidRPr="006A1141">
        <w:rPr>
          <w:rFonts w:ascii="Times New Roman" w:eastAsiaTheme="minorEastAsia" w:hAnsi="Times New Roman" w:cs="Times New Roman"/>
          <w:sz w:val="24"/>
        </w:rPr>
        <w:t>Medicine, University of Tsukuba</w:t>
      </w:r>
      <w:r w:rsidRPr="006A1141">
        <w:rPr>
          <w:rFonts w:ascii="Times New Roman" w:eastAsia="Times New Roman" w:hAnsi="Times New Roman" w:cs="Times New Roman"/>
          <w:sz w:val="24"/>
        </w:rPr>
        <w:t xml:space="preserve">. </w:t>
      </w:r>
    </w:p>
    <w:p w14:paraId="60ED2429" w14:textId="399B22BB" w:rsidR="006A1141" w:rsidRPr="006A1141" w:rsidRDefault="006A1141" w:rsidP="006A1141">
      <w:pPr>
        <w:spacing w:after="5" w:line="250" w:lineRule="auto"/>
        <w:ind w:left="-14" w:right="2240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 w:hint="eastAsia"/>
          <w:sz w:val="24"/>
        </w:rPr>
        <w:t xml:space="preserve">1-1-1 </w:t>
      </w:r>
      <w:proofErr w:type="spellStart"/>
      <w:r w:rsidRPr="006A1141">
        <w:rPr>
          <w:rFonts w:ascii="Times New Roman" w:eastAsiaTheme="minorEastAsia" w:hAnsi="Times New Roman" w:cs="Times New Roman"/>
          <w:sz w:val="24"/>
        </w:rPr>
        <w:t>Tennodai</w:t>
      </w:r>
      <w:proofErr w:type="spellEnd"/>
      <w:r w:rsidRPr="006A1141">
        <w:rPr>
          <w:rFonts w:ascii="Times New Roman" w:eastAsia="Times New Roman" w:hAnsi="Times New Roman" w:cs="Times New Roman"/>
          <w:sz w:val="24"/>
        </w:rPr>
        <w:t xml:space="preserve">, </w:t>
      </w:r>
      <w:r w:rsidRPr="006A1141">
        <w:rPr>
          <w:rFonts w:ascii="Times New Roman" w:eastAsiaTheme="minorEastAsia" w:hAnsi="Times New Roman" w:cs="Times New Roman"/>
          <w:sz w:val="24"/>
        </w:rPr>
        <w:t>Tsukuba</w:t>
      </w:r>
      <w:r w:rsidRPr="006A1141">
        <w:rPr>
          <w:rFonts w:ascii="Times New Roman" w:eastAsia="Times New Roman" w:hAnsi="Times New Roman" w:cs="Times New Roman"/>
          <w:sz w:val="24"/>
        </w:rPr>
        <w:t xml:space="preserve">, </w:t>
      </w:r>
      <w:r w:rsidRPr="006A1141">
        <w:rPr>
          <w:rFonts w:ascii="Times New Roman" w:eastAsiaTheme="minorEastAsia" w:hAnsi="Times New Roman" w:cs="Times New Roman"/>
          <w:sz w:val="24"/>
        </w:rPr>
        <w:t>Ibaraki</w:t>
      </w:r>
      <w:r w:rsidRPr="006A1141">
        <w:rPr>
          <w:rFonts w:ascii="Times New Roman" w:eastAsia="Times New Roman" w:hAnsi="Times New Roman" w:cs="Times New Roman"/>
          <w:sz w:val="24"/>
        </w:rPr>
        <w:t xml:space="preserve">, </w:t>
      </w:r>
      <w:r w:rsidRPr="006A1141">
        <w:rPr>
          <w:rFonts w:ascii="Times New Roman" w:eastAsiaTheme="minorEastAsia" w:hAnsi="Times New Roman" w:cs="Times New Roman"/>
          <w:sz w:val="24"/>
        </w:rPr>
        <w:t>305</w:t>
      </w:r>
      <w:r w:rsidRPr="006A1141">
        <w:rPr>
          <w:rFonts w:ascii="Times New Roman" w:eastAsia="Times New Roman" w:hAnsi="Times New Roman" w:cs="Times New Roman"/>
          <w:sz w:val="24"/>
        </w:rPr>
        <w:t>-85</w:t>
      </w:r>
      <w:r w:rsidRPr="006A1141">
        <w:rPr>
          <w:rFonts w:ascii="Times New Roman" w:eastAsiaTheme="minorEastAsia" w:hAnsi="Times New Roman" w:cs="Times New Roman"/>
          <w:sz w:val="24"/>
        </w:rPr>
        <w:t>7</w:t>
      </w:r>
      <w:r w:rsidRPr="006A1141">
        <w:rPr>
          <w:rFonts w:ascii="Times New Roman" w:eastAsia="Times New Roman" w:hAnsi="Times New Roman" w:cs="Times New Roman"/>
          <w:sz w:val="24"/>
        </w:rPr>
        <w:t xml:space="preserve">5, JAPAN </w:t>
      </w:r>
    </w:p>
    <w:p w14:paraId="62C0E80B" w14:textId="2CF87071" w:rsidR="001A4D52" w:rsidRPr="006A1141" w:rsidRDefault="00000000" w:rsidP="006A1141">
      <w:pPr>
        <w:spacing w:after="5" w:line="250" w:lineRule="auto"/>
        <w:ind w:left="-14" w:right="2240"/>
        <w:jc w:val="both"/>
        <w:rPr>
          <w:rFonts w:ascii="Times New Roman" w:hAnsi="Times New Roman" w:cs="Times New Roman"/>
        </w:rPr>
      </w:pPr>
      <w:r w:rsidRPr="006A1141">
        <w:rPr>
          <w:rFonts w:ascii="Times New Roman" w:eastAsia="Times New Roman" w:hAnsi="Times New Roman" w:cs="Times New Roman"/>
          <w:sz w:val="24"/>
        </w:rPr>
        <w:t xml:space="preserve">e-mail: </w:t>
      </w:r>
      <w:r w:rsidR="003A434C">
        <w:rPr>
          <w:rFonts w:ascii="Times New Roman" w:eastAsiaTheme="minorEastAsia" w:hAnsi="Times New Roman" w:cs="Times New Roman"/>
          <w:color w:val="0463C1"/>
          <w:sz w:val="24"/>
          <w:u w:val="single" w:color="0463C1"/>
        </w:rPr>
        <w:t>xxxx</w:t>
      </w:r>
      <w:r w:rsidRPr="006A1141">
        <w:rPr>
          <w:rFonts w:ascii="Times New Roman" w:eastAsia="Times New Roman" w:hAnsi="Times New Roman" w:cs="Times New Roman"/>
          <w:color w:val="0463C1"/>
          <w:sz w:val="24"/>
          <w:u w:val="single" w:color="0463C1"/>
        </w:rPr>
        <w:t>@md.</w:t>
      </w:r>
      <w:r w:rsidR="006A1141">
        <w:rPr>
          <w:rFonts w:ascii="Times New Roman" w:eastAsiaTheme="minorEastAsia" w:hAnsi="Times New Roman" w:cs="Times New Roman" w:hint="eastAsia"/>
          <w:color w:val="0463C1"/>
          <w:sz w:val="24"/>
          <w:u w:val="single" w:color="0463C1"/>
        </w:rPr>
        <w:t>ts</w:t>
      </w:r>
      <w:r w:rsidR="003A434C">
        <w:rPr>
          <w:rFonts w:ascii="Times New Roman" w:eastAsiaTheme="minorEastAsia" w:hAnsi="Times New Roman" w:cs="Times New Roman"/>
          <w:color w:val="0463C1"/>
          <w:sz w:val="24"/>
          <w:u w:val="single" w:color="0463C1"/>
        </w:rPr>
        <w:t>xxx</w:t>
      </w:r>
      <w:r w:rsidR="006A1141">
        <w:rPr>
          <w:rFonts w:ascii="Times New Roman" w:eastAsiaTheme="minorEastAsia" w:hAnsi="Times New Roman" w:cs="Times New Roman" w:hint="eastAsia"/>
          <w:color w:val="0463C1"/>
          <w:sz w:val="24"/>
          <w:u w:val="single" w:color="0463C1"/>
        </w:rPr>
        <w:t>ba</w:t>
      </w:r>
      <w:r w:rsidRPr="006A1141">
        <w:rPr>
          <w:rFonts w:ascii="Times New Roman" w:eastAsia="Times New Roman" w:hAnsi="Times New Roman" w:cs="Times New Roman"/>
          <w:color w:val="0463C1"/>
          <w:sz w:val="24"/>
          <w:u w:val="single" w:color="0463C1"/>
        </w:rPr>
        <w:t>.ac.jp</w:t>
      </w:r>
      <w:r w:rsidRPr="006A1141">
        <w:rPr>
          <w:rFonts w:ascii="Times New Roman" w:eastAsia="Times New Roman" w:hAnsi="Times New Roman" w:cs="Times New Roman"/>
          <w:sz w:val="24"/>
        </w:rPr>
        <w:t xml:space="preserve"> </w:t>
      </w:r>
      <w:r w:rsidRPr="006A1141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1D92E0B7" w14:textId="77777777" w:rsidR="001A4D52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C3837B" w14:textId="02F10C8D" w:rsidR="001A4D52" w:rsidRDefault="00000000">
      <w:pPr>
        <w:spacing w:after="5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Objects: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84A50" w:rsidRPr="00D84A50">
        <w:rPr>
          <w:rFonts w:ascii="Times New Roman" w:eastAsia="Times New Roman" w:hAnsi="Times New Roman" w:cs="Times New Roman"/>
          <w:sz w:val="24"/>
        </w:rPr>
        <w:t>When teeth are traumatized, the jawbone undergoes oxidative stress due to inflammation and other factors. Peroxiredoxin is a thioredoxin-dependent hydrogen peroxide scavenging enzyme as an antioxidant protein with isoforms I</w:t>
      </w:r>
      <w:r w:rsidR="00D84A50">
        <w:rPr>
          <w:rFonts w:ascii="Times New Roman" w:eastAsia="Times New Roman" w:hAnsi="Times New Roman" w:cs="Times New Roman"/>
          <w:sz w:val="24"/>
        </w:rPr>
        <w:t xml:space="preserve"> - </w:t>
      </w:r>
      <w:r w:rsidR="00D84A50" w:rsidRPr="00D84A50">
        <w:rPr>
          <w:rFonts w:ascii="Times New Roman" w:eastAsia="Times New Roman" w:hAnsi="Times New Roman" w:cs="Times New Roman"/>
          <w:sz w:val="24"/>
        </w:rPr>
        <w:t xml:space="preserve"> IV. In the present study, we investigated the effects of oxidative stress on bone using Peroxiredoxin I (</w:t>
      </w:r>
      <w:proofErr w:type="spellStart"/>
      <w:r w:rsidR="00D84A50" w:rsidRPr="00D84A50">
        <w:rPr>
          <w:rFonts w:ascii="Times New Roman" w:eastAsia="Times New Roman" w:hAnsi="Times New Roman" w:cs="Times New Roman"/>
          <w:sz w:val="24"/>
        </w:rPr>
        <w:t>Prx</w:t>
      </w:r>
      <w:proofErr w:type="spellEnd"/>
      <w:r w:rsidR="00D84A50" w:rsidRPr="00D84A50">
        <w:rPr>
          <w:rFonts w:ascii="Times New Roman" w:eastAsia="Times New Roman" w:hAnsi="Times New Roman" w:cs="Times New Roman"/>
          <w:sz w:val="24"/>
        </w:rPr>
        <w:t xml:space="preserve"> I) knockout mice.</w:t>
      </w:r>
    </w:p>
    <w:p w14:paraId="393F5D97" w14:textId="6C9A1502" w:rsidR="00D84A50" w:rsidRDefault="00000000">
      <w:pPr>
        <w:spacing w:after="5" w:line="250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Materials and Methods: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84A50" w:rsidRPr="00D84A50">
        <w:rPr>
          <w:rFonts w:ascii="Times New Roman" w:eastAsia="Times New Roman" w:hAnsi="Times New Roman" w:cs="Times New Roman"/>
          <w:sz w:val="24"/>
        </w:rPr>
        <w:t>Prx</w:t>
      </w:r>
      <w:proofErr w:type="spellEnd"/>
      <w:r w:rsidR="00D84A50" w:rsidRPr="00D84A50">
        <w:rPr>
          <w:rFonts w:ascii="Times New Roman" w:eastAsia="Times New Roman" w:hAnsi="Times New Roman" w:cs="Times New Roman"/>
          <w:sz w:val="24"/>
        </w:rPr>
        <w:t xml:space="preserve"> I knockout mice were generated from ES clones (OST422296: Lexicon Genetics Inc.) using the gene trap method. These mice were compared with wild-type mice by X-ray examination, microfocus CT imaging, bone densitometry by DXA, and bone morphometry. Macrophages were also collected to examine their ability to resist oxidative stress.</w:t>
      </w:r>
    </w:p>
    <w:p w14:paraId="1A84561A" w14:textId="13383465" w:rsidR="001A4D52" w:rsidRDefault="00000000">
      <w:pPr>
        <w:spacing w:after="5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Result: </w:t>
      </w:r>
      <w:r w:rsidR="00D84A50" w:rsidRPr="00D84A50">
        <w:rPr>
          <w:rFonts w:ascii="Times New Roman" w:eastAsia="Times New Roman" w:hAnsi="Times New Roman" w:cs="Times New Roman"/>
          <w:sz w:val="24"/>
        </w:rPr>
        <w:t xml:space="preserve">Screening by simple radiography revealed no obvious abnormalities, but microfocus CT showed increased bone cortex in </w:t>
      </w:r>
      <w:proofErr w:type="spellStart"/>
      <w:r w:rsidR="00D84A50" w:rsidRPr="00D84A50">
        <w:rPr>
          <w:rFonts w:ascii="Times New Roman" w:eastAsia="Times New Roman" w:hAnsi="Times New Roman" w:cs="Times New Roman"/>
          <w:sz w:val="24"/>
        </w:rPr>
        <w:t>Prx</w:t>
      </w:r>
      <w:proofErr w:type="spellEnd"/>
      <w:r w:rsidR="00D84A50" w:rsidRPr="00D84A50">
        <w:rPr>
          <w:rFonts w:ascii="Times New Roman" w:eastAsia="Times New Roman" w:hAnsi="Times New Roman" w:cs="Times New Roman"/>
          <w:sz w:val="24"/>
        </w:rPr>
        <w:t xml:space="preserve"> I knockout mice, and bone densitometry by DXA showed increased bone density. In addition, bone morphometry showed a decrease in osteoclast count and osteoclast surface.</w:t>
      </w:r>
    </w:p>
    <w:p w14:paraId="61E7DCEA" w14:textId="38B6C16B" w:rsidR="001A4D52" w:rsidRDefault="00000000">
      <w:pPr>
        <w:spacing w:after="5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Conclusions: </w:t>
      </w:r>
      <w:r w:rsidR="00D84A50" w:rsidRPr="00D84A50">
        <w:rPr>
          <w:rFonts w:ascii="Times New Roman" w:eastAsia="Times New Roman" w:hAnsi="Times New Roman" w:cs="Times New Roman"/>
          <w:sz w:val="24"/>
        </w:rPr>
        <w:t xml:space="preserve">These results suggest that loss of </w:t>
      </w:r>
      <w:proofErr w:type="spellStart"/>
      <w:r w:rsidR="00D84A50" w:rsidRPr="00D84A50">
        <w:rPr>
          <w:rFonts w:ascii="Times New Roman" w:eastAsia="Times New Roman" w:hAnsi="Times New Roman" w:cs="Times New Roman"/>
          <w:sz w:val="24"/>
        </w:rPr>
        <w:t>Prx</w:t>
      </w:r>
      <w:proofErr w:type="spellEnd"/>
      <w:r w:rsidR="00D84A50" w:rsidRPr="00D84A50">
        <w:rPr>
          <w:rFonts w:ascii="Times New Roman" w:eastAsia="Times New Roman" w:hAnsi="Times New Roman" w:cs="Times New Roman"/>
          <w:sz w:val="24"/>
        </w:rPr>
        <w:t xml:space="preserve"> I in response to trauma-induced oxidative stress may result in bone mutations that are more damaging to the osteoclast lineage.</w:t>
      </w:r>
    </w:p>
    <w:p w14:paraId="1712E310" w14:textId="77777777" w:rsidR="001A4D52" w:rsidRDefault="00000000">
      <w:pPr>
        <w:spacing w:after="14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A9D9F6C" w14:textId="4372BD13" w:rsidR="001A4D52" w:rsidRDefault="00000000">
      <w:pPr>
        <w:spacing w:after="5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Key Words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D84A50">
        <w:rPr>
          <w:rFonts w:ascii="Times New Roman" w:eastAsia="Times New Roman" w:hAnsi="Times New Roman" w:cs="Times New Roman"/>
          <w:sz w:val="24"/>
        </w:rPr>
        <w:t>Peroxiredoxin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D84A50">
        <w:rPr>
          <w:rFonts w:ascii="Times New Roman" w:eastAsia="Times New Roman" w:hAnsi="Times New Roman" w:cs="Times New Roman"/>
          <w:sz w:val="24"/>
        </w:rPr>
        <w:t>Oxidative stress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D84A50">
        <w:rPr>
          <w:rFonts w:ascii="Times New Roman" w:eastAsia="Times New Roman" w:hAnsi="Times New Roman" w:cs="Times New Roman"/>
          <w:sz w:val="24"/>
        </w:rPr>
        <w:t>Knockout mouse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D84A50">
        <w:rPr>
          <w:rFonts w:ascii="Times New Roman" w:eastAsia="Times New Roman" w:hAnsi="Times New Roman" w:cs="Times New Roman"/>
          <w:sz w:val="24"/>
        </w:rPr>
        <w:t xml:space="preserve">Bone </w:t>
      </w:r>
      <w:r w:rsidR="00D84A50" w:rsidRPr="00D84A50">
        <w:rPr>
          <w:rFonts w:ascii="Times New Roman" w:eastAsia="Times New Roman" w:hAnsi="Times New Roman" w:cs="Times New Roman"/>
          <w:sz w:val="24"/>
        </w:rPr>
        <w:t>morphometry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D84A50" w:rsidRPr="00D84A50">
        <w:rPr>
          <w:rFonts w:ascii="Times New Roman" w:eastAsia="Times New Roman" w:hAnsi="Times New Roman" w:cs="Times New Roman"/>
          <w:sz w:val="24"/>
        </w:rPr>
        <w:t>DXA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14:paraId="1BF9DE6F" w14:textId="77777777" w:rsidR="001A4D52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D706E3" w14:textId="77777777" w:rsidR="001A4D52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Brief CV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3302601" w14:textId="16B4E30D" w:rsidR="001A4D52" w:rsidRDefault="00000000">
      <w:pPr>
        <w:spacing w:after="14" w:line="262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>19</w:t>
      </w:r>
      <w:r w:rsidR="00416DEB">
        <w:rPr>
          <w:rFonts w:ascii="Times New Roman" w:eastAsia="Times New Roman" w:hAnsi="Times New Roman" w:cs="Times New Roman" w:hint="eastAsia"/>
          <w:sz w:val="21"/>
        </w:rPr>
        <w:t>99</w:t>
      </w:r>
      <w:r>
        <w:rPr>
          <w:rFonts w:ascii="Times New Roman" w:eastAsia="Times New Roman" w:hAnsi="Times New Roman" w:cs="Times New Roman"/>
          <w:sz w:val="21"/>
        </w:rPr>
        <w:t>-</w:t>
      </w:r>
      <w:r w:rsidR="00416DEB">
        <w:rPr>
          <w:rFonts w:ascii="Times New Roman" w:eastAsia="Times New Roman" w:hAnsi="Times New Roman" w:cs="Times New Roman" w:hint="eastAsia"/>
          <w:sz w:val="21"/>
        </w:rPr>
        <w:t>2010</w:t>
      </w:r>
      <w:r>
        <w:rPr>
          <w:rFonts w:ascii="Times New Roman" w:eastAsia="Times New Roman" w:hAnsi="Times New Roman" w:cs="Times New Roman"/>
          <w:sz w:val="21"/>
        </w:rPr>
        <w:t xml:space="preserve">:  </w:t>
      </w:r>
      <w:r w:rsidR="00416DEB">
        <w:rPr>
          <w:rFonts w:ascii="Times New Roman" w:eastAsia="Times New Roman" w:hAnsi="Times New Roman" w:cs="Times New Roman"/>
          <w:sz w:val="21"/>
        </w:rPr>
        <w:t>Assistant Professor,</w:t>
      </w:r>
      <w:r w:rsidR="0065249C" w:rsidRPr="0065249C">
        <w:t xml:space="preserve"> </w:t>
      </w:r>
      <w:r w:rsidR="0065249C" w:rsidRPr="0065249C">
        <w:rPr>
          <w:rFonts w:ascii="Times New Roman" w:eastAsia="Times New Roman" w:hAnsi="Times New Roman" w:cs="Times New Roman"/>
          <w:sz w:val="21"/>
        </w:rPr>
        <w:t>Department of Oral and Maxillofacial Surgery, Institute of Medicine,</w:t>
      </w:r>
      <w:r w:rsidR="00B87237">
        <w:rPr>
          <w:rFonts w:ascii="Times New Roman" w:eastAsia="Times New Roman" w:hAnsi="Times New Roman" w:cs="Times New Roman"/>
          <w:sz w:val="21"/>
        </w:rPr>
        <w:t xml:space="preserve"> </w:t>
      </w:r>
      <w:r w:rsidR="0065249C">
        <w:rPr>
          <w:rFonts w:ascii="Times New Roman" w:eastAsiaTheme="minorEastAsia" w:hAnsi="Times New Roman" w:cs="Times New Roman" w:hint="eastAsia"/>
          <w:sz w:val="21"/>
        </w:rPr>
        <w:t>University of Tsukuba.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36A8EE52" w14:textId="34771628" w:rsidR="008F5931" w:rsidRDefault="0065249C" w:rsidP="008F5931">
      <w:pPr>
        <w:spacing w:after="14" w:line="262" w:lineRule="auto"/>
        <w:ind w:left="-5" w:hanging="1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Theme="minorEastAsia" w:hAnsi="Times New Roman" w:cs="Times New Roman" w:hint="eastAsia"/>
          <w:sz w:val="21"/>
        </w:rPr>
        <w:t>2010</w:t>
      </w:r>
      <w:r>
        <w:rPr>
          <w:rFonts w:ascii="Times New Roman" w:eastAsia="Times New Roman" w:hAnsi="Times New Roman" w:cs="Times New Roman"/>
          <w:sz w:val="21"/>
        </w:rPr>
        <w:t>-20</w:t>
      </w:r>
      <w:r w:rsidR="008F5931">
        <w:rPr>
          <w:rFonts w:ascii="Times New Roman" w:eastAsia="Times New Roman" w:hAnsi="Times New Roman" w:cs="Times New Roman"/>
          <w:sz w:val="21"/>
        </w:rPr>
        <w:t>18</w:t>
      </w:r>
      <w:r>
        <w:rPr>
          <w:rFonts w:ascii="Times New Roman" w:eastAsia="Times New Roman" w:hAnsi="Times New Roman" w:cs="Times New Roman"/>
          <w:sz w:val="21"/>
        </w:rPr>
        <w:t xml:space="preserve">:  </w:t>
      </w:r>
      <w:r w:rsidR="008F5931">
        <w:rPr>
          <w:rFonts w:ascii="Times New Roman" w:eastAsia="Times New Roman" w:hAnsi="Times New Roman" w:cs="Times New Roman"/>
          <w:sz w:val="21"/>
        </w:rPr>
        <w:t xml:space="preserve">Associate Professor, </w:t>
      </w:r>
      <w:r w:rsidR="008F5931" w:rsidRPr="0065249C">
        <w:rPr>
          <w:rFonts w:ascii="Times New Roman" w:eastAsia="Times New Roman" w:hAnsi="Times New Roman" w:cs="Times New Roman"/>
          <w:sz w:val="21"/>
        </w:rPr>
        <w:t>Department of Oral and Maxillofacial Surgery, Institute of Medicine,</w:t>
      </w:r>
      <w:r w:rsidR="00B87237">
        <w:rPr>
          <w:rFonts w:ascii="Times New Roman" w:eastAsia="Times New Roman" w:hAnsi="Times New Roman" w:cs="Times New Roman"/>
          <w:sz w:val="21"/>
        </w:rPr>
        <w:t xml:space="preserve"> </w:t>
      </w:r>
      <w:r w:rsidR="008F5931">
        <w:rPr>
          <w:rFonts w:ascii="Times New Roman" w:eastAsiaTheme="minorEastAsia" w:hAnsi="Times New Roman" w:cs="Times New Roman" w:hint="eastAsia"/>
          <w:sz w:val="21"/>
        </w:rPr>
        <w:t>University of Tsukuba.</w:t>
      </w:r>
      <w:r w:rsidR="008F5931">
        <w:rPr>
          <w:rFonts w:ascii="Times New Roman" w:eastAsia="Times New Roman" w:hAnsi="Times New Roman" w:cs="Times New Roman"/>
          <w:sz w:val="21"/>
        </w:rPr>
        <w:t xml:space="preserve"> </w:t>
      </w:r>
    </w:p>
    <w:p w14:paraId="0743DEAD" w14:textId="4A382EE2" w:rsidR="001A4D52" w:rsidRDefault="00000000">
      <w:pPr>
        <w:spacing w:after="14" w:line="262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>20</w:t>
      </w:r>
      <w:r w:rsidR="0065249C">
        <w:rPr>
          <w:rFonts w:ascii="Times New Roman" w:eastAsiaTheme="minorEastAsia" w:hAnsi="Times New Roman" w:cs="Times New Roman" w:hint="eastAsia"/>
          <w:sz w:val="21"/>
        </w:rPr>
        <w:t>18</w:t>
      </w:r>
      <w:r>
        <w:rPr>
          <w:rFonts w:ascii="Times New Roman" w:eastAsia="Times New Roman" w:hAnsi="Times New Roman" w:cs="Times New Roman"/>
          <w:sz w:val="21"/>
        </w:rPr>
        <w:t xml:space="preserve">-present: </w:t>
      </w:r>
      <w:r w:rsidR="00B87237">
        <w:rPr>
          <w:rFonts w:ascii="Times New Roman" w:eastAsia="Times New Roman" w:hAnsi="Times New Roman" w:cs="Times New Roman"/>
          <w:sz w:val="21"/>
        </w:rPr>
        <w:t>P</w:t>
      </w:r>
      <w:r>
        <w:rPr>
          <w:rFonts w:ascii="Times New Roman" w:eastAsia="Times New Roman" w:hAnsi="Times New Roman" w:cs="Times New Roman"/>
          <w:sz w:val="21"/>
        </w:rPr>
        <w:t xml:space="preserve">rofessor, </w:t>
      </w:r>
      <w:r w:rsidR="00B87237" w:rsidRPr="0065249C">
        <w:rPr>
          <w:rFonts w:ascii="Times New Roman" w:eastAsia="Times New Roman" w:hAnsi="Times New Roman" w:cs="Times New Roman"/>
          <w:sz w:val="21"/>
        </w:rPr>
        <w:t>Department of Oral and Maxillofacial Surgery, Institute of Medicine,</w:t>
      </w:r>
      <w:r w:rsidR="00B87237">
        <w:rPr>
          <w:rFonts w:ascii="Times New Roman" w:eastAsia="Times New Roman" w:hAnsi="Times New Roman" w:cs="Times New Roman"/>
          <w:sz w:val="21"/>
        </w:rPr>
        <w:t xml:space="preserve"> </w:t>
      </w:r>
      <w:r w:rsidR="00B87237">
        <w:rPr>
          <w:rFonts w:ascii="Times New Roman" w:eastAsiaTheme="minorEastAsia" w:hAnsi="Times New Roman" w:cs="Times New Roman" w:hint="eastAsia"/>
          <w:sz w:val="21"/>
        </w:rPr>
        <w:t>University of Tsukuba.</w:t>
      </w:r>
      <w:r w:rsidR="00551FC4">
        <w:rPr>
          <w:rFonts w:ascii="Times New Roman" w:eastAsiaTheme="minorEastAsia" w:hAnsi="Times New Roman" w:cs="Times New Roman"/>
          <w:sz w:val="21"/>
        </w:rPr>
        <w:t xml:space="preserve"> Ibaraki Clinical Education and Training Center, University of Tsukuba Hospital</w:t>
      </w:r>
      <w:r>
        <w:rPr>
          <w:rFonts w:ascii="Times New Roman" w:eastAsia="Times New Roman" w:hAnsi="Times New Roman" w:cs="Times New Roman"/>
          <w:sz w:val="21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1A4D52">
      <w:pgSz w:w="11906" w:h="16838"/>
      <w:pgMar w:top="2173" w:right="1684" w:bottom="1923" w:left="17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C6733"/>
    <w:multiLevelType w:val="hybridMultilevel"/>
    <w:tmpl w:val="CFC0A70E"/>
    <w:lvl w:ilvl="0" w:tplc="576A0820">
      <w:start w:val="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E8B3A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5A7D0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22F9D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A0C0A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00283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942E2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36368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C2A31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2B097F"/>
    <w:multiLevelType w:val="multilevel"/>
    <w:tmpl w:val="71DA34A6"/>
    <w:lvl w:ilvl="0">
      <w:start w:val="1"/>
      <w:numFmt w:val="decimal"/>
      <w:lvlText w:val="%1"/>
      <w:lvlJc w:val="left"/>
      <w:pPr>
        <w:ind w:left="600" w:hanging="600"/>
      </w:pPr>
      <w:rPr>
        <w:rFonts w:asciiTheme="minorEastAsia" w:hAnsiTheme="minorEastAsia" w:hint="default"/>
      </w:rPr>
    </w:lvl>
    <w:lvl w:ilvl="1">
      <w:start w:val="1"/>
      <w:numFmt w:val="decimal"/>
      <w:lvlText w:val="%1-%2"/>
      <w:lvlJc w:val="left"/>
      <w:pPr>
        <w:ind w:left="593" w:hanging="600"/>
      </w:pPr>
      <w:rPr>
        <w:rFonts w:asciiTheme="minorEastAsia" w:hAnsiTheme="minorEastAsia" w:hint="default"/>
      </w:rPr>
    </w:lvl>
    <w:lvl w:ilvl="2">
      <w:start w:val="1"/>
      <w:numFmt w:val="decimal"/>
      <w:lvlText w:val="%1-%2-%3"/>
      <w:lvlJc w:val="left"/>
      <w:pPr>
        <w:ind w:left="70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-%3.%4"/>
      <w:lvlJc w:val="left"/>
      <w:pPr>
        <w:ind w:left="699" w:hanging="720"/>
      </w:pPr>
      <w:rPr>
        <w:rFonts w:asciiTheme="minorEastAsia" w:hAnsiTheme="minorEastAsia" w:hint="default"/>
      </w:rPr>
    </w:lvl>
    <w:lvl w:ilvl="4">
      <w:start w:val="1"/>
      <w:numFmt w:val="decimal"/>
      <w:lvlText w:val="%1-%2-%3.%4.%5"/>
      <w:lvlJc w:val="left"/>
      <w:pPr>
        <w:ind w:left="1052" w:hanging="1080"/>
      </w:pPr>
      <w:rPr>
        <w:rFonts w:asciiTheme="minorEastAsia" w:hAnsiTheme="minorEastAsia" w:hint="default"/>
      </w:rPr>
    </w:lvl>
    <w:lvl w:ilvl="5">
      <w:start w:val="1"/>
      <w:numFmt w:val="decimal"/>
      <w:lvlText w:val="%1-%2-%3.%4.%5.%6"/>
      <w:lvlJc w:val="left"/>
      <w:pPr>
        <w:ind w:left="1045" w:hanging="1080"/>
      </w:pPr>
      <w:rPr>
        <w:rFonts w:asciiTheme="minorEastAsia" w:hAnsiTheme="minorEastAsia" w:hint="default"/>
      </w:rPr>
    </w:lvl>
    <w:lvl w:ilvl="6">
      <w:start w:val="1"/>
      <w:numFmt w:val="decimal"/>
      <w:lvlText w:val="%1-%2-%3.%4.%5.%6.%7"/>
      <w:lvlJc w:val="left"/>
      <w:pPr>
        <w:ind w:left="1398" w:hanging="1440"/>
      </w:pPr>
      <w:rPr>
        <w:rFonts w:asciiTheme="minorEastAsia" w:hAnsiTheme="minorEastAsia" w:hint="default"/>
      </w:rPr>
    </w:lvl>
    <w:lvl w:ilvl="7">
      <w:start w:val="1"/>
      <w:numFmt w:val="decimal"/>
      <w:lvlText w:val="%1-%2-%3.%4.%5.%6.%7.%8"/>
      <w:lvlJc w:val="left"/>
      <w:pPr>
        <w:ind w:left="1391" w:hanging="1440"/>
      </w:pPr>
      <w:rPr>
        <w:rFonts w:asciiTheme="minorEastAsia" w:hAnsiTheme="minorEastAsia" w:hint="default"/>
      </w:rPr>
    </w:lvl>
    <w:lvl w:ilvl="8">
      <w:start w:val="1"/>
      <w:numFmt w:val="decimal"/>
      <w:lvlText w:val="%1-%2-%3.%4.%5.%6.%7.%8.%9"/>
      <w:lvlJc w:val="left"/>
      <w:pPr>
        <w:ind w:left="1744" w:hanging="1800"/>
      </w:pPr>
      <w:rPr>
        <w:rFonts w:asciiTheme="minorEastAsia" w:hAnsiTheme="minorEastAsia" w:hint="default"/>
      </w:rPr>
    </w:lvl>
  </w:abstractNum>
  <w:num w:numId="1" w16cid:durableId="1624075881">
    <w:abstractNumId w:val="0"/>
  </w:num>
  <w:num w:numId="2" w16cid:durableId="842429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D52"/>
    <w:rsid w:val="001A4D52"/>
    <w:rsid w:val="00203E6D"/>
    <w:rsid w:val="002213FB"/>
    <w:rsid w:val="00235179"/>
    <w:rsid w:val="003121D8"/>
    <w:rsid w:val="003A434C"/>
    <w:rsid w:val="00407D72"/>
    <w:rsid w:val="00416DEB"/>
    <w:rsid w:val="004E7915"/>
    <w:rsid w:val="005023AC"/>
    <w:rsid w:val="005370B2"/>
    <w:rsid w:val="00551FC4"/>
    <w:rsid w:val="00595BB7"/>
    <w:rsid w:val="0061733F"/>
    <w:rsid w:val="00623344"/>
    <w:rsid w:val="0065249C"/>
    <w:rsid w:val="006A1141"/>
    <w:rsid w:val="00797D32"/>
    <w:rsid w:val="00882C34"/>
    <w:rsid w:val="008F5931"/>
    <w:rsid w:val="009B4E54"/>
    <w:rsid w:val="00A90849"/>
    <w:rsid w:val="00B87237"/>
    <w:rsid w:val="00CD55D4"/>
    <w:rsid w:val="00D00ACA"/>
    <w:rsid w:val="00D84A50"/>
    <w:rsid w:val="00E60C1B"/>
    <w:rsid w:val="00EE3501"/>
    <w:rsid w:val="00EE6888"/>
    <w:rsid w:val="00F33001"/>
    <w:rsid w:val="00F75304"/>
    <w:rsid w:val="00FB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A3623"/>
  <w15:docId w15:val="{25A31243-35C0-C143-88AE-2FF9612B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141"/>
    <w:pPr>
      <w:ind w:leftChars="400" w:left="840"/>
    </w:pPr>
  </w:style>
  <w:style w:type="character" w:styleId="a4">
    <w:name w:val="Hyperlink"/>
    <w:basedOn w:val="a0"/>
    <w:uiPriority w:val="99"/>
    <w:unhideWhenUsed/>
    <w:rsid w:val="00797D32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97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22-12-13 Instructin for abstract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22-12-13 Instructin for abstract</dc:title>
  <dc:subject/>
  <dc:creator>柳川徹</dc:creator>
  <cp:keywords/>
  <cp:lastModifiedBy>柳川徹</cp:lastModifiedBy>
  <cp:revision>4</cp:revision>
  <dcterms:created xsi:type="dcterms:W3CDTF">2024-05-20T23:24:00Z</dcterms:created>
  <dcterms:modified xsi:type="dcterms:W3CDTF">2024-06-12T12:34:00Z</dcterms:modified>
</cp:coreProperties>
</file>